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C4D" w:rsidRDefault="004E0C4D" w:rsidP="00374E6B">
      <w:pPr>
        <w:jc w:val="center"/>
        <w:rPr>
          <w:b/>
        </w:rPr>
      </w:pPr>
    </w:p>
    <w:p w:rsidR="004E0C4D" w:rsidRDefault="004E0C4D" w:rsidP="00374E6B">
      <w:pPr>
        <w:jc w:val="center"/>
        <w:rPr>
          <w:b/>
        </w:rPr>
      </w:pPr>
    </w:p>
    <w:p w:rsidR="004E0C4D" w:rsidRPr="00374E6B" w:rsidRDefault="004E0C4D" w:rsidP="00374E6B">
      <w:pPr>
        <w:jc w:val="center"/>
        <w:rPr>
          <w:b/>
        </w:rPr>
      </w:pPr>
      <w:r w:rsidRPr="00374E6B">
        <w:rPr>
          <w:b/>
        </w:rPr>
        <w:t>НАСТАВНО-НАУЧНОМ ВЕЋУ ФИЛОЗОФСКОГ ФАКУЛТЕТА УНИВЕРЗИТЕТА У НИШУ</w:t>
      </w:r>
    </w:p>
    <w:p w:rsidR="004E0C4D" w:rsidRDefault="004E0C4D"/>
    <w:p w:rsidR="004E0C4D" w:rsidRDefault="004E0C4D" w:rsidP="00266EAF">
      <w:pPr>
        <w:spacing w:line="276" w:lineRule="auto"/>
        <w:jc w:val="both"/>
      </w:pPr>
      <w:r>
        <w:tab/>
        <w:t>Одлуком Наставно-научног већа Филозофског факултета у Нишу, број 288/1-6-2-01, од 21. 09. 2016. именовани смо за чланове Комисије за оцену и одбрану магистарске тезе кандидата Богдана Ђуровића, под насловом РЕАЛНИ ДОМЕТИ И УТОПИЈСКИ ХОРИЗОНТИ СОЦИОКУЛТУРНЕ ГЛОБАЛИЗАЦИЈЕ. На основу анализе магистарске тезе, Комисија подноси следећи</w:t>
      </w:r>
    </w:p>
    <w:p w:rsidR="004E0C4D" w:rsidRDefault="004E0C4D" w:rsidP="00266EAF">
      <w:pPr>
        <w:spacing w:line="276" w:lineRule="auto"/>
      </w:pPr>
    </w:p>
    <w:p w:rsidR="004E0C4D" w:rsidRPr="00374E6B" w:rsidRDefault="004E0C4D" w:rsidP="00266EAF">
      <w:pPr>
        <w:spacing w:line="276" w:lineRule="auto"/>
        <w:jc w:val="center"/>
        <w:rPr>
          <w:b/>
        </w:rPr>
      </w:pPr>
      <w:r w:rsidRPr="00374E6B">
        <w:rPr>
          <w:b/>
        </w:rPr>
        <w:t>И З В Е Ш Т А Ј</w:t>
      </w:r>
    </w:p>
    <w:p w:rsidR="004E0C4D" w:rsidRDefault="004E0C4D" w:rsidP="00266EAF">
      <w:pPr>
        <w:spacing w:line="276" w:lineRule="auto"/>
        <w:jc w:val="center"/>
        <w:rPr>
          <w:i/>
        </w:rPr>
      </w:pPr>
      <w:r w:rsidRPr="00374E6B">
        <w:rPr>
          <w:i/>
        </w:rPr>
        <w:t>Анализа магистарске тезе</w:t>
      </w:r>
    </w:p>
    <w:p w:rsidR="004E0C4D" w:rsidRDefault="004E0C4D" w:rsidP="00266EAF">
      <w:pPr>
        <w:spacing w:line="276" w:lineRule="auto"/>
        <w:jc w:val="both"/>
      </w:pPr>
      <w:r>
        <w:tab/>
        <w:t xml:space="preserve">Магистарска теза РЕАЛНИ ДОМЕТИ И УТОПИЈСКИ ХОРИЗОНТИ СОЦИОКУЛТУРНЕ ГЛОБАЛИЗАЦИЈЕ, дипломираног социолога Богдана Ђуровића, написана је на 98 страна. Након првог дела у коме су изложени проблем и значај изабране теме, у тези су представљене следеће целине: Различити приступи глобализацији, Утопијски и дистопијски хоризонти глобализације, Друштвене последице глобализације, Глобализација и културне промене, Завршна разматрања и Литература. Свако поглавље садржи одговарајући број потпоглавља. </w:t>
      </w:r>
    </w:p>
    <w:p w:rsidR="004E0C4D" w:rsidRDefault="004E0C4D" w:rsidP="00266EAF">
      <w:pPr>
        <w:spacing w:line="276" w:lineRule="auto"/>
        <w:ind w:firstLine="720"/>
        <w:jc w:val="both"/>
        <w:rPr>
          <w:szCs w:val="24"/>
        </w:rPr>
      </w:pPr>
      <w:r>
        <w:rPr>
          <w:szCs w:val="24"/>
        </w:rPr>
        <w:t xml:space="preserve">У уводном делу, насловљеном као </w:t>
      </w:r>
      <w:r w:rsidRPr="000A6F1F">
        <w:rPr>
          <w:i/>
          <w:szCs w:val="24"/>
        </w:rPr>
        <w:t>Проблем и значај изабране теме</w:t>
      </w:r>
      <w:r>
        <w:rPr>
          <w:szCs w:val="24"/>
        </w:rPr>
        <w:t xml:space="preserve"> (5–17), кандидат указује на проблеме везане за само поимање глобализације, културе и утопије – скрећући пажњу на често супротстављене приступе овим феноменима. Он сматра да глобализацију можемо посматрати као процес великих структуралних промена на целој планети и у животима већине људи, који се идеалнотипски може истраживати у оквиру неколико великих подсистема: политици, економији и култури, односно кроз анализу начина одлучивања, начина привређивања и начина живота.</w:t>
      </w:r>
      <w:r w:rsidRPr="00686B92">
        <w:rPr>
          <w:color w:val="FFC000"/>
          <w:szCs w:val="24"/>
        </w:rPr>
        <w:t xml:space="preserve"> </w:t>
      </w:r>
    </w:p>
    <w:p w:rsidR="004E0C4D" w:rsidRPr="00D6469A" w:rsidRDefault="004E0C4D" w:rsidP="00266EAF">
      <w:pPr>
        <w:spacing w:line="276" w:lineRule="auto"/>
        <w:ind w:firstLine="720"/>
        <w:jc w:val="both"/>
        <w:rPr>
          <w:szCs w:val="24"/>
        </w:rPr>
      </w:pPr>
      <w:r w:rsidRPr="00D6469A">
        <w:rPr>
          <w:szCs w:val="24"/>
        </w:rPr>
        <w:t xml:space="preserve">У другом делу под насловом </w:t>
      </w:r>
      <w:r w:rsidRPr="000A6F1F">
        <w:rPr>
          <w:i/>
          <w:szCs w:val="24"/>
        </w:rPr>
        <w:t>Различити приступи глобализацији</w:t>
      </w:r>
      <w:r w:rsidRPr="00D6469A">
        <w:rPr>
          <w:szCs w:val="24"/>
        </w:rPr>
        <w:t xml:space="preserve"> (18–43) аутор критички анализује радове шест значајних аутора у овој области, укључујући и </w:t>
      </w:r>
      <w:r>
        <w:rPr>
          <w:szCs w:val="24"/>
        </w:rPr>
        <w:t>двојицу</w:t>
      </w:r>
      <w:r w:rsidRPr="00D6469A">
        <w:rPr>
          <w:szCs w:val="24"/>
        </w:rPr>
        <w:t xml:space="preserve"> са наших простора. Како је Дејвид Хелд један од најутицајних аутора који нуди поделу приступа глобализацији на „три школе мишљења“ – хиперглобалисте, скептике и трансформационисте</w:t>
      </w:r>
      <w:r>
        <w:rPr>
          <w:szCs w:val="24"/>
        </w:rPr>
        <w:t>,</w:t>
      </w:r>
      <w:r w:rsidRPr="00D6469A">
        <w:rPr>
          <w:szCs w:val="24"/>
        </w:rPr>
        <w:t xml:space="preserve"> кандидат, анализујући његов приступ, упозорава да се и сам аутор оградио од прецизности овакве поделе, јер је свестан да разлике не одсликавају праве позиције појединих аутора које су много суптилније. Но, без обзира на ову примедбу, он сматра да Хелд даје добре полазне позиције при анализи глобализације. Други аутор, којим се Ђуровић бави, је Боавентура </w:t>
      </w:r>
      <w:r>
        <w:rPr>
          <w:szCs w:val="24"/>
        </w:rPr>
        <w:t xml:space="preserve">де Соза Сантос. Он га представља као поборника светско-системског приступа овом феномену, који је веома критичан према негативним последицама глобализације. Посебно истиче његову тезу да се интерпретацијом глобализације као једноставне и транспарентне, заправо, затамњују и маскирају циљеви </w:t>
      </w:r>
      <w:r w:rsidRPr="00D6469A">
        <w:rPr>
          <w:szCs w:val="24"/>
        </w:rPr>
        <w:t xml:space="preserve">хегемонистичких елита које имају своје идеолошке и политичке интересе. Од домаћих аутора, Ђуровић издваја </w:t>
      </w:r>
      <w:r>
        <w:rPr>
          <w:szCs w:val="24"/>
        </w:rPr>
        <w:t xml:space="preserve">Мирослава Печујлића и Владимира Вулетића. Печујлић дефинише глобализацију као стварање јединственог глобалног простора и проширивање/ </w:t>
      </w:r>
      <w:r w:rsidRPr="00D6469A">
        <w:rPr>
          <w:szCs w:val="24"/>
        </w:rPr>
        <w:t>продубљивање међусобне повезаности све већег броја друштава, што представља позитивне аспекте глобализације. Та међузависност, међутим, често затамњује доминацију моћнијих и реалну зависност оних који не располажу таквом моћи. И управо је та хијерархија и неједнакост суштинско обележје све веће повезаности света. Владимир Вулетић се бави, пре свега, идеолошко-политичком димензијом глобализацијских процеса, покушавајући да разреши питање да ли је глобализација процес или пројекат. Разматрајући дату проблематику, кандидат Вулетићу замера на закључцима које овај изводи из анализе</w:t>
      </w:r>
      <w:r>
        <w:rPr>
          <w:szCs w:val="24"/>
        </w:rPr>
        <w:t xml:space="preserve"> односа</w:t>
      </w:r>
      <w:r w:rsidRPr="00D6469A">
        <w:rPr>
          <w:szCs w:val="24"/>
        </w:rPr>
        <w:t xml:space="preserve"> неједнакости и сиромаштва – из чињенице да постоје сиромашни појединци и категорије становништва и у богатим државама</w:t>
      </w:r>
      <w:r>
        <w:rPr>
          <w:szCs w:val="24"/>
        </w:rPr>
        <w:t>,</w:t>
      </w:r>
      <w:r w:rsidRPr="00D6469A">
        <w:rPr>
          <w:szCs w:val="24"/>
        </w:rPr>
        <w:t xml:space="preserve"> не можемо негирати постојање неједнакости на глобалнијим нивоима – државама, нити нас то онемогућава да вршимо компарацију међу њима. </w:t>
      </w:r>
    </w:p>
    <w:p w:rsidR="004E0C4D" w:rsidRPr="00D6469A" w:rsidRDefault="004E0C4D" w:rsidP="00266EAF">
      <w:pPr>
        <w:spacing w:line="276" w:lineRule="auto"/>
        <w:ind w:firstLine="720"/>
        <w:jc w:val="both"/>
        <w:rPr>
          <w:szCs w:val="24"/>
        </w:rPr>
      </w:pPr>
      <w:r w:rsidRPr="00D6469A">
        <w:rPr>
          <w:szCs w:val="24"/>
        </w:rPr>
        <w:t>У трећем одељку</w:t>
      </w:r>
      <w:r>
        <w:rPr>
          <w:szCs w:val="24"/>
        </w:rPr>
        <w:t xml:space="preserve"> </w:t>
      </w:r>
      <w:r w:rsidRPr="000A6F1F">
        <w:rPr>
          <w:i/>
          <w:szCs w:val="24"/>
        </w:rPr>
        <w:t>Утопијски и дистопијски хоризонти глобализације</w:t>
      </w:r>
      <w:r w:rsidRPr="00D6469A">
        <w:rPr>
          <w:szCs w:val="24"/>
        </w:rPr>
        <w:t xml:space="preserve"> (43–60) кандидат се бави утопијско-дистопијским анализама и концептима тројице значајних аутора у овој области: Алвином Тофлером, Семјуелом Хантингтоном и Френсисом Фукујамом. Он Тофлерово становиште дефинише као оптимистичко и афирмативно, указујући на основне идеје које су садржане у његовом опусу. Пре свега, то је идеја о последњем таласу који нас је „запљуснуо“ – трећем таласу, информатичком добу, постиндустријском друштву, који из основа мењају и преокрећу наше поимање и живљење у измењеним околностима промењених политичких уређења, геополитичке слике планете, односа према раду, односима у породици, начину и обиму комуникације. Заправо, примећује кандидат, овакво Тофлерово становиште проглашава смрт индустријализма и рађање нове цивилизације у којој имамо огромне проблеме са енергијом, храном, контролом наоружавања, насиљем, популационом политиком. </w:t>
      </w:r>
    </w:p>
    <w:p w:rsidR="004E0C4D" w:rsidRDefault="004E0C4D" w:rsidP="00266EAF">
      <w:pPr>
        <w:spacing w:line="276" w:lineRule="auto"/>
        <w:ind w:firstLine="720"/>
        <w:jc w:val="both"/>
        <w:rPr>
          <w:szCs w:val="24"/>
        </w:rPr>
      </w:pPr>
      <w:r w:rsidRPr="00D6469A">
        <w:rPr>
          <w:szCs w:val="24"/>
        </w:rPr>
        <w:t>Магистрант Ђ</w:t>
      </w:r>
      <w:r w:rsidRPr="00D6469A">
        <w:rPr>
          <w:sz w:val="26"/>
          <w:szCs w:val="24"/>
        </w:rPr>
        <w:t>уровић,</w:t>
      </w:r>
      <w:r w:rsidRPr="00D6469A">
        <w:rPr>
          <w:szCs w:val="24"/>
        </w:rPr>
        <w:t xml:space="preserve"> надаље, анализира дистопијски концепт будућности Семјуела Хантингтона, указујући да се он налази у „шизофреном“ положају да помири заснивање нове парадигме и геостратешке анализе која му је понекад била битнија. Он истиче Хантингтонову тезу да је време сукоба који су засновани на идеолошким или економским интересима ствар прошлости, те да ће сукоби будућности бити засновани на цивилизацијским (културним и верским) разликама, а они ће се дешавати на несавршеним границама цивилизација. Бавећи се Фукујамом, Ђуровић примећује </w:t>
      </w:r>
      <w:r>
        <w:rPr>
          <w:szCs w:val="24"/>
        </w:rPr>
        <w:t xml:space="preserve">да његов оптимистичко-идеолошки приступ затвара врата не само историји у класичном поимању тог појма већ и могућности трансформација заснованих на непресушним изворима имагинације.  Фукујамина теза да смо дошли до краја историје идеолошких и политичких пројеката, те да ће се будућност сместити у окриље „најделотворнијег“ система либералне демократије је, по њему, есхатолошко-идеолошки конструкт који нема упоришта у стварности – односно да су негатине стране (нео)либералног концепта, поготово у економији, више него видљиве.   </w:t>
      </w:r>
    </w:p>
    <w:p w:rsidR="004E0C4D" w:rsidRDefault="004E0C4D" w:rsidP="00266EAF">
      <w:pPr>
        <w:spacing w:line="276" w:lineRule="auto"/>
        <w:ind w:firstLine="720"/>
        <w:jc w:val="both"/>
        <w:rPr>
          <w:szCs w:val="24"/>
        </w:rPr>
      </w:pPr>
      <w:r>
        <w:rPr>
          <w:szCs w:val="24"/>
        </w:rPr>
        <w:t xml:space="preserve">    У оквиру поглавља </w:t>
      </w:r>
      <w:r w:rsidRPr="000A6F1F">
        <w:rPr>
          <w:i/>
          <w:szCs w:val="24"/>
        </w:rPr>
        <w:t>Друштвене последице глобализације</w:t>
      </w:r>
      <w:r w:rsidRPr="00D6469A">
        <w:rPr>
          <w:szCs w:val="24"/>
        </w:rPr>
        <w:t xml:space="preserve"> (60–73), кандидат издваја проблеме који су везани за будућност националне државе и неједнакост између региона и држава и сиромаштво које је, делимично, генерисано из тих односа. Као и у претходним случајевима, он говори о дијаметрално супротстављеним ставовима поводом будућности националне државе. </w:t>
      </w:r>
      <w:r>
        <w:rPr>
          <w:szCs w:val="24"/>
        </w:rPr>
        <w:t>Постоје</w:t>
      </w:r>
      <w:r w:rsidRPr="00D6469A">
        <w:rPr>
          <w:szCs w:val="24"/>
        </w:rPr>
        <w:t xml:space="preserve"> </w:t>
      </w:r>
      <w:r>
        <w:rPr>
          <w:szCs w:val="24"/>
        </w:rPr>
        <w:t>аутори</w:t>
      </w:r>
      <w:r w:rsidRPr="00D6469A">
        <w:rPr>
          <w:szCs w:val="24"/>
        </w:rPr>
        <w:t xml:space="preserve"> (Волф, Грејем и Томсон) који тврде да се ништа битно није десило са сувереношћу националних држава и да им је будућност загарантована и трајна</w:t>
      </w:r>
      <w:r>
        <w:rPr>
          <w:szCs w:val="24"/>
        </w:rPr>
        <w:t>,</w:t>
      </w:r>
      <w:r w:rsidRPr="00D6469A">
        <w:rPr>
          <w:szCs w:val="24"/>
        </w:rPr>
        <w:t xml:space="preserve"> да је оно што се дешава само трансформација већ раније виђених феномена у економији, политици и међународним односима, те да је глобализација, углавном, мит. Како он то види, ови аутори повезаност тржишта, транспорта</w:t>
      </w:r>
      <w:r>
        <w:rPr>
          <w:szCs w:val="24"/>
        </w:rPr>
        <w:t xml:space="preserve">, </w:t>
      </w:r>
      <w:r w:rsidRPr="00D6469A">
        <w:rPr>
          <w:szCs w:val="24"/>
        </w:rPr>
        <w:t xml:space="preserve"> комуникација и културних промена перципирају као интернационализацију у којој главну улогу играју нације и њихове владе. Они, по њему, тврде да глобализација не чини државе немоћним и непотребним – већина држава користи могућности међународне сарадње али то не значи да се тиме одричу свог суверенитета. Интерпретирајући Гиденса, он истиче главну тезу оваквих приступа која се одсликава кроз тврдњу да је улога националних држава значајнија него што је то била у прошлости, али да се суверенитет нације помера и националне државе су принуђене да редефинишу свој идентитет. Надаље, кандидат се </w:t>
      </w:r>
      <w:r>
        <w:rPr>
          <w:szCs w:val="24"/>
        </w:rPr>
        <w:t xml:space="preserve">осврће на становиште Јиргена Хабермаса који сматра да постоје три главна аспекта слабљења моћи националне државе: немогућност адекватне државне контроле, криза легитимацијске основе за доношење одлука на националном нивоу и све већој немоћи националних држава да у пореској политици и организацији унутрашњег деловања следе принципе легитимацијског дејства. На крају, он анализира приступ Арџуна Ападураја, једног од најтврђих заговорника тезе о нестанку националних држава, који сматра да масовни медији и масовне миграције постају глобализовани и тако утичу на прекид са прошлошћу на нов и делотворан начин. </w:t>
      </w:r>
    </w:p>
    <w:p w:rsidR="004E0C4D" w:rsidRDefault="004E0C4D" w:rsidP="00266EAF">
      <w:pPr>
        <w:spacing w:line="276" w:lineRule="auto"/>
        <w:ind w:firstLine="720"/>
        <w:jc w:val="both"/>
        <w:rPr>
          <w:szCs w:val="24"/>
        </w:rPr>
      </w:pPr>
      <w:r>
        <w:rPr>
          <w:szCs w:val="24"/>
        </w:rPr>
        <w:t>У потпоглаљу овога дела, који се бави неједнакостима и сиромаштвом, он истиче да сви релевантни извештаји (релативно) независних међународних агенција и институција указују да се јаз између богатих и сиромашних држава све више продубљује, али, такође, и међу различитим слојевима на нивоу појединачних држава (и сиромашних и богатих). Разлика између богатих и сиромашних земаља се постепено повећавала, да би крајем XX века била већа него икад пре. Оно што он види као значајно је чињеница да се јаз између богатих и сиромашних у најразвијеним државама све више повећава, што се може илустровати финансијским позицијама и животном стандарду између виших, средњих слојева и прекарних и мануелних радника. Ђуровић констатује да савремене тенденције и ефекти</w:t>
      </w:r>
      <w:r w:rsidRPr="00C41A3B">
        <w:rPr>
          <w:szCs w:val="24"/>
        </w:rPr>
        <w:t xml:space="preserve"> </w:t>
      </w:r>
      <w:r>
        <w:rPr>
          <w:szCs w:val="24"/>
        </w:rPr>
        <w:t>који прате глобализацију изузетно погодују великима и богатима – регионима, државама и појединцима, док томе насупрот стављају у веома лошу позицију сиромашне регионе, државе и појединце од којих су најпогођенији радници и мигранти.</w:t>
      </w:r>
    </w:p>
    <w:p w:rsidR="004E0C4D" w:rsidRPr="00D6469A" w:rsidRDefault="004E0C4D" w:rsidP="00266EAF">
      <w:pPr>
        <w:spacing w:line="276" w:lineRule="auto"/>
        <w:ind w:firstLine="720"/>
        <w:jc w:val="both"/>
        <w:rPr>
          <w:szCs w:val="24"/>
        </w:rPr>
      </w:pPr>
      <w:r>
        <w:rPr>
          <w:szCs w:val="24"/>
        </w:rPr>
        <w:t xml:space="preserve">Последње поглавље </w:t>
      </w:r>
      <w:r w:rsidRPr="000A6F1F">
        <w:rPr>
          <w:i/>
          <w:szCs w:val="24"/>
        </w:rPr>
        <w:t>Глобализација и културне промене</w:t>
      </w:r>
      <w:r>
        <w:rPr>
          <w:szCs w:val="24"/>
        </w:rPr>
        <w:t xml:space="preserve"> (73–89)</w:t>
      </w:r>
      <w:r w:rsidRPr="00D6469A">
        <w:rPr>
          <w:szCs w:val="24"/>
        </w:rPr>
        <w:t xml:space="preserve"> аутор посвећује глобализацији и културним променама. Ту покушава да направи дистинкцију између синтагми „културна глобализација“ и „глобализација културе“, тврдећи за једну да се догађала током миленујума кроз различите контакте међу људским заједницама кроз процесе дифузије културних модела и акултурацију, док друга подразумева наметање културних модела из центра периферији и полупериферији кроз хомогенизацију културе. Надаље, говорећи о културном идентитету, он наглашава да је </w:t>
      </w:r>
      <w:r>
        <w:rPr>
          <w:szCs w:val="24"/>
        </w:rPr>
        <w:t>овај</w:t>
      </w:r>
      <w:r w:rsidRPr="00D6469A">
        <w:rPr>
          <w:szCs w:val="24"/>
        </w:rPr>
        <w:t xml:space="preserve"> заснован на истости, односно разлици, те да сви појединци који усвајају и владају се по одређеном систему вредности, деле исти или сличан однос према традицији и сопственој историји формирају моделе које би смо могли назвати културно-идентитетским. </w:t>
      </w:r>
    </w:p>
    <w:p w:rsidR="004E0C4D" w:rsidRDefault="004E0C4D" w:rsidP="00266EAF">
      <w:pPr>
        <w:spacing w:line="276" w:lineRule="auto"/>
        <w:ind w:firstLine="720"/>
        <w:jc w:val="both"/>
        <w:rPr>
          <w:szCs w:val="24"/>
        </w:rPr>
      </w:pPr>
      <w:r w:rsidRPr="00D6469A">
        <w:rPr>
          <w:szCs w:val="24"/>
        </w:rPr>
        <w:t xml:space="preserve">У последњем делу овог поглавља, Ђуровић разматра однос између глобализацијских процеса и религије. Он напомиње да нема једнозначног одговора на ово питање – са једне стране имамо деловање секуларизације на традиционалне верске заједнице и опадање практичне религиозности, а са друге повећање интензитета веровања и увећање броја нових верских заједница. Кандидат сматра да постоје два </w:t>
      </w:r>
      <w:r>
        <w:rPr>
          <w:szCs w:val="24"/>
        </w:rPr>
        <w:t xml:space="preserve">главна религијска одговора на све снажније глобализацијске трендове и процесе који из темеља мењају наше животе. Први је фундаментализам, који се може описати кроз ставове оних верских група које се позивају на дословно тумачење светих текстова и које верују да те доктрине треба применити на све аспекте друштвеног, економског и политичког живота. Други одговор се манифестује кроз Нове верске покрете, који су реакција на „понуду“ традиционалних религија према веровању и практиковању које оне захтевају и нуде. </w:t>
      </w:r>
    </w:p>
    <w:p w:rsidR="004E0C4D" w:rsidRDefault="004E0C4D" w:rsidP="00266EAF">
      <w:pPr>
        <w:spacing w:line="276" w:lineRule="auto"/>
        <w:ind w:firstLine="720"/>
        <w:jc w:val="both"/>
        <w:rPr>
          <w:szCs w:val="24"/>
        </w:rPr>
      </w:pPr>
      <w:r>
        <w:rPr>
          <w:szCs w:val="24"/>
        </w:rPr>
        <w:t xml:space="preserve">У </w:t>
      </w:r>
      <w:r w:rsidRPr="000A6F1F">
        <w:rPr>
          <w:i/>
          <w:szCs w:val="24"/>
        </w:rPr>
        <w:t>Завршним разматрањима</w:t>
      </w:r>
      <w:r>
        <w:rPr>
          <w:szCs w:val="24"/>
        </w:rPr>
        <w:t xml:space="preserve"> (89–93) кандидат излаже ретроспекцију различитих схватања глобализације, која захвата све сегменте наших живота и протеже се на све велике подсистеме – политику, економију и културу. У склопу културних промена, он закључује да погледи на свет које доноси глобализација културе нису униформни и не претендују на </w:t>
      </w:r>
      <w:bookmarkStart w:id="0" w:name="_GoBack"/>
      <w:bookmarkEnd w:id="0"/>
      <w:r>
        <w:rPr>
          <w:szCs w:val="24"/>
        </w:rPr>
        <w:t xml:space="preserve">универзалност и хомогенизацију, већ се пре могу назвати хибридним. У овим процесима долази и до значајних трансформација културног идентитета, посредством различитих агенаса акултурације, али и све већег утицаја масовних медија. </w:t>
      </w:r>
    </w:p>
    <w:p w:rsidR="004E0C4D" w:rsidRDefault="004E0C4D" w:rsidP="00266EAF">
      <w:pPr>
        <w:widowControl w:val="0"/>
        <w:spacing w:after="0" w:line="276" w:lineRule="auto"/>
        <w:jc w:val="both"/>
        <w:rPr>
          <w:color w:val="000000"/>
          <w:szCs w:val="24"/>
          <w:lang w:eastAsia="hr-HR"/>
        </w:rPr>
      </w:pPr>
      <w:r>
        <w:rPr>
          <w:szCs w:val="24"/>
        </w:rPr>
        <w:t xml:space="preserve"> </w:t>
      </w:r>
      <w:r w:rsidRPr="00794AD6">
        <w:rPr>
          <w:color w:val="000000"/>
          <w:szCs w:val="24"/>
          <w:lang w:eastAsia="hr-HR"/>
        </w:rPr>
        <w:tab/>
        <w:t xml:space="preserve">Магистарски рад Богдана Ђуровића у </w:t>
      </w:r>
      <w:r w:rsidRPr="000057F1">
        <w:rPr>
          <w:color w:val="000000"/>
          <w:szCs w:val="24"/>
          <w:lang w:eastAsia="hr-HR"/>
        </w:rPr>
        <w:t>методолошком</w:t>
      </w:r>
      <w:r>
        <w:rPr>
          <w:color w:val="000000"/>
          <w:szCs w:val="24"/>
          <w:lang w:eastAsia="hr-HR"/>
        </w:rPr>
        <w:t xml:space="preserve"> погледу</w:t>
      </w:r>
      <w:r w:rsidRPr="00794AD6">
        <w:rPr>
          <w:color w:val="000000"/>
          <w:szCs w:val="24"/>
          <w:lang w:eastAsia="hr-HR"/>
        </w:rPr>
        <w:t xml:space="preserve"> примерен</w:t>
      </w:r>
      <w:r>
        <w:rPr>
          <w:color w:val="000000"/>
          <w:szCs w:val="24"/>
          <w:lang w:eastAsia="hr-HR"/>
        </w:rPr>
        <w:t xml:space="preserve"> је</w:t>
      </w:r>
      <w:r w:rsidRPr="00794AD6">
        <w:rPr>
          <w:color w:val="000000"/>
          <w:szCs w:val="24"/>
          <w:lang w:eastAsia="hr-HR"/>
        </w:rPr>
        <w:t xml:space="preserve"> истраживаној проблематици. </w:t>
      </w:r>
      <w:r>
        <w:rPr>
          <w:color w:val="000000"/>
          <w:szCs w:val="24"/>
          <w:lang w:eastAsia="hr-HR"/>
        </w:rPr>
        <w:t>Кандидат је користио</w:t>
      </w:r>
      <w:r w:rsidRPr="00794AD6">
        <w:rPr>
          <w:color w:val="000000"/>
          <w:szCs w:val="24"/>
          <w:lang w:eastAsia="hr-HR"/>
        </w:rPr>
        <w:t xml:space="preserve"> квалитативни методолошки приступ, уз употребу логичких метода и социолошких </w:t>
      </w:r>
      <w:r>
        <w:rPr>
          <w:color w:val="000000"/>
          <w:szCs w:val="24"/>
          <w:lang w:eastAsia="hr-HR"/>
        </w:rPr>
        <w:t>техника истраживања, попут анализе</w:t>
      </w:r>
      <w:r w:rsidRPr="00794AD6">
        <w:rPr>
          <w:color w:val="000000"/>
          <w:szCs w:val="24"/>
          <w:lang w:eastAsia="hr-HR"/>
        </w:rPr>
        <w:t xml:space="preserve"> садржаја примарних извора (историјско-социолошка анализа процеса глобализације и теоријск</w:t>
      </w:r>
      <w:r>
        <w:rPr>
          <w:color w:val="000000"/>
          <w:szCs w:val="24"/>
          <w:lang w:eastAsia="hr-HR"/>
        </w:rPr>
        <w:t>их истраживања тога процеса), анализе</w:t>
      </w:r>
      <w:r w:rsidRPr="00794AD6">
        <w:rPr>
          <w:color w:val="000000"/>
          <w:szCs w:val="24"/>
          <w:lang w:eastAsia="hr-HR"/>
        </w:rPr>
        <w:t xml:space="preserve"> садржаја секундарних извора (статистичких извештаја, ист</w:t>
      </w:r>
      <w:r>
        <w:rPr>
          <w:color w:val="000000"/>
          <w:szCs w:val="24"/>
          <w:lang w:eastAsia="hr-HR"/>
        </w:rPr>
        <w:t>оријско-архивске грађе и сл) и компаративног</w:t>
      </w:r>
      <w:r w:rsidRPr="00794AD6">
        <w:rPr>
          <w:color w:val="000000"/>
          <w:szCs w:val="24"/>
          <w:lang w:eastAsia="hr-HR"/>
        </w:rPr>
        <w:t xml:space="preserve"> метод</w:t>
      </w:r>
      <w:r>
        <w:rPr>
          <w:color w:val="000000"/>
          <w:szCs w:val="24"/>
          <w:lang w:eastAsia="hr-HR"/>
        </w:rPr>
        <w:t>а (упоређивање</w:t>
      </w:r>
      <w:r w:rsidRPr="00794AD6">
        <w:rPr>
          <w:color w:val="000000"/>
          <w:szCs w:val="24"/>
          <w:lang w:eastAsia="hr-HR"/>
        </w:rPr>
        <w:t xml:space="preserve"> налаза из истраживања друштвених и културних аспеката глобализације на регионалном и светском нивоу).</w:t>
      </w:r>
    </w:p>
    <w:p w:rsidR="004E0C4D" w:rsidRDefault="004E0C4D" w:rsidP="00266EAF">
      <w:pPr>
        <w:widowControl w:val="0"/>
        <w:spacing w:after="0" w:line="276" w:lineRule="auto"/>
        <w:jc w:val="both"/>
        <w:rPr>
          <w:color w:val="000000"/>
          <w:szCs w:val="24"/>
          <w:lang w:eastAsia="hr-HR"/>
        </w:rPr>
      </w:pPr>
    </w:p>
    <w:p w:rsidR="004E0C4D" w:rsidRDefault="004E0C4D" w:rsidP="00266EAF">
      <w:pPr>
        <w:widowControl w:val="0"/>
        <w:spacing w:after="0" w:line="276" w:lineRule="auto"/>
        <w:jc w:val="both"/>
        <w:rPr>
          <w:color w:val="000000"/>
          <w:szCs w:val="24"/>
          <w:lang w:eastAsia="hr-HR"/>
        </w:rPr>
      </w:pPr>
    </w:p>
    <w:p w:rsidR="004E0C4D" w:rsidRDefault="004E0C4D" w:rsidP="00266EAF">
      <w:pPr>
        <w:widowControl w:val="0"/>
        <w:spacing w:after="0" w:line="276" w:lineRule="auto"/>
        <w:jc w:val="both"/>
        <w:rPr>
          <w:color w:val="000000"/>
          <w:szCs w:val="24"/>
          <w:lang w:eastAsia="hr-HR"/>
        </w:rPr>
      </w:pPr>
    </w:p>
    <w:p w:rsidR="004E0C4D" w:rsidRPr="00012FAF" w:rsidRDefault="004E0C4D" w:rsidP="00012FAF">
      <w:pPr>
        <w:widowControl w:val="0"/>
        <w:spacing w:after="0" w:line="276" w:lineRule="auto"/>
        <w:jc w:val="center"/>
        <w:rPr>
          <w:i/>
          <w:color w:val="000000"/>
          <w:szCs w:val="24"/>
          <w:lang w:eastAsia="hr-HR"/>
        </w:rPr>
      </w:pPr>
      <w:r w:rsidRPr="00012FAF">
        <w:rPr>
          <w:i/>
          <w:color w:val="000000"/>
          <w:szCs w:val="24"/>
          <w:lang w:eastAsia="hr-HR"/>
        </w:rPr>
        <w:t>Закључак и предлог</w:t>
      </w:r>
    </w:p>
    <w:p w:rsidR="004E0C4D" w:rsidRDefault="004E0C4D" w:rsidP="00266EAF">
      <w:pPr>
        <w:widowControl w:val="0"/>
        <w:spacing w:after="0" w:line="276" w:lineRule="auto"/>
        <w:jc w:val="both"/>
        <w:rPr>
          <w:color w:val="000000"/>
          <w:szCs w:val="24"/>
          <w:lang w:eastAsia="hr-HR"/>
        </w:rPr>
      </w:pPr>
    </w:p>
    <w:p w:rsidR="004E0C4D" w:rsidRDefault="004E0C4D" w:rsidP="00266EAF">
      <w:pPr>
        <w:widowControl w:val="0"/>
        <w:spacing w:after="0" w:line="276" w:lineRule="auto"/>
        <w:jc w:val="both"/>
        <w:rPr>
          <w:color w:val="000000"/>
          <w:szCs w:val="24"/>
          <w:lang w:eastAsia="hr-HR"/>
        </w:rPr>
      </w:pPr>
      <w:r>
        <w:rPr>
          <w:color w:val="000000"/>
          <w:szCs w:val="24"/>
          <w:lang w:eastAsia="hr-HR"/>
        </w:rPr>
        <w:tab/>
        <w:t xml:space="preserve">Тема коју је кандидат Богдан Ђуровић одабрао актуелна је, теоријски утемељена и методолошки адекватно истражена. Теоријски приступ, анализа и интерпретација засновани су на научним критеријумима и стандардима, а рад у целини представља значајан допринос сагледавању глобализације као процеса који је присутан у свим сегментима живота на глобалном нивоу, почевши, од економског, преко политичког до културног (и обратно). Иако је реч о теоријском истраживању, резултати до којих је кандидат дошао имају значај и у функционисању свих сфера практичног живота, будући да је глобализација, како он пише, и процес и пројекат са јасно одређеним намерама и замислима. </w:t>
      </w:r>
    </w:p>
    <w:p w:rsidR="004E0C4D" w:rsidRDefault="004E0C4D" w:rsidP="00266EAF">
      <w:pPr>
        <w:widowControl w:val="0"/>
        <w:spacing w:after="0" w:line="276" w:lineRule="auto"/>
        <w:jc w:val="both"/>
      </w:pPr>
      <w:r>
        <w:rPr>
          <w:color w:val="000000"/>
          <w:szCs w:val="24"/>
          <w:lang w:eastAsia="hr-HR"/>
        </w:rPr>
        <w:tab/>
        <w:t xml:space="preserve">На основу прегледа и оцене рукописа магистарске тезе Богдана Ђуровића, под насловом </w:t>
      </w:r>
      <w:r>
        <w:t>РЕАЛНИ ДОМЕТИ И УТОПИЈСКИ ХОРИЗОНТИ СОЦИОКУЛТУРНЕ ГЛОБАЛИЗАЦИЈЕ, Комисија сматра да она задовољава све постављене захтеве и представља одређен допринос науци. У том смислу, Комисија предлаже Наставно-научном већу Филозофског факултета Универзитета у Нишу да прихвати Извештај о оцени магистарске тезе и кандидату Богдану Ђуровићу омогући њену јавну одбрану.</w:t>
      </w:r>
    </w:p>
    <w:p w:rsidR="004E0C4D" w:rsidRDefault="004E0C4D" w:rsidP="00266EAF">
      <w:pPr>
        <w:widowControl w:val="0"/>
        <w:spacing w:after="0" w:line="276" w:lineRule="auto"/>
        <w:jc w:val="both"/>
      </w:pPr>
    </w:p>
    <w:p w:rsidR="004E0C4D" w:rsidRDefault="004E0C4D" w:rsidP="00266EAF">
      <w:pPr>
        <w:widowControl w:val="0"/>
        <w:spacing w:after="0" w:line="276" w:lineRule="auto"/>
        <w:jc w:val="both"/>
      </w:pPr>
    </w:p>
    <w:p w:rsidR="004E0C4D" w:rsidRDefault="004E0C4D" w:rsidP="00266EAF">
      <w:pPr>
        <w:widowControl w:val="0"/>
        <w:spacing w:after="0" w:line="276" w:lineRule="auto"/>
        <w:jc w:val="both"/>
      </w:pPr>
      <w:r>
        <w:t>У Нишу, 29.09.2016.                                                          КОМИСИЈА</w:t>
      </w:r>
    </w:p>
    <w:p w:rsidR="004E0C4D" w:rsidRDefault="004E0C4D" w:rsidP="00266EAF">
      <w:pPr>
        <w:widowControl w:val="0"/>
        <w:spacing w:after="0" w:line="276" w:lineRule="auto"/>
        <w:jc w:val="both"/>
      </w:pPr>
    </w:p>
    <w:p w:rsidR="004E0C4D" w:rsidRDefault="004E0C4D" w:rsidP="00266EAF">
      <w:pPr>
        <w:widowControl w:val="0"/>
        <w:spacing w:after="0" w:line="276" w:lineRule="auto"/>
        <w:jc w:val="both"/>
      </w:pPr>
      <w:r>
        <w:t xml:space="preserve">                                                               ______________________________________________</w:t>
      </w:r>
    </w:p>
    <w:p w:rsidR="004E0C4D" w:rsidRDefault="004E0C4D" w:rsidP="00266EAF">
      <w:pPr>
        <w:widowControl w:val="0"/>
        <w:spacing w:after="0" w:line="276" w:lineRule="auto"/>
        <w:jc w:val="both"/>
      </w:pPr>
      <w:r>
        <w:t xml:space="preserve">                                                            Др Никола Божиловић, редовни професор Филозофског</w:t>
      </w:r>
    </w:p>
    <w:p w:rsidR="004E0C4D" w:rsidRDefault="004E0C4D" w:rsidP="00266EAF">
      <w:pPr>
        <w:widowControl w:val="0"/>
        <w:spacing w:after="0" w:line="276" w:lineRule="auto"/>
        <w:jc w:val="both"/>
      </w:pPr>
      <w:r>
        <w:t xml:space="preserve">                                                            факултета у Нишу, ментор</w:t>
      </w:r>
    </w:p>
    <w:p w:rsidR="004E0C4D" w:rsidRDefault="004E0C4D" w:rsidP="00266EAF">
      <w:pPr>
        <w:widowControl w:val="0"/>
        <w:spacing w:after="0" w:line="276" w:lineRule="auto"/>
        <w:jc w:val="both"/>
      </w:pPr>
    </w:p>
    <w:p w:rsidR="004E0C4D" w:rsidRDefault="004E0C4D" w:rsidP="00266EAF">
      <w:pPr>
        <w:widowControl w:val="0"/>
        <w:spacing w:after="0" w:line="276" w:lineRule="auto"/>
        <w:jc w:val="both"/>
      </w:pPr>
      <w:r>
        <w:t xml:space="preserve">                                                               ______________________________________________</w:t>
      </w:r>
    </w:p>
    <w:p w:rsidR="004E0C4D" w:rsidRDefault="004E0C4D" w:rsidP="00266EAF">
      <w:pPr>
        <w:widowControl w:val="0"/>
        <w:spacing w:after="0" w:line="276" w:lineRule="auto"/>
        <w:jc w:val="both"/>
      </w:pPr>
      <w:r>
        <w:t xml:space="preserve">                                                             Др Данијела Гавриловић, ред. проф. Филозофског</w:t>
      </w:r>
    </w:p>
    <w:p w:rsidR="004E0C4D" w:rsidRDefault="004E0C4D" w:rsidP="00266EAF">
      <w:pPr>
        <w:widowControl w:val="0"/>
        <w:spacing w:after="0" w:line="276" w:lineRule="auto"/>
        <w:jc w:val="both"/>
      </w:pPr>
      <w:r>
        <w:t xml:space="preserve">                                                             факултета у Нишу</w:t>
      </w:r>
    </w:p>
    <w:p w:rsidR="004E0C4D" w:rsidRDefault="004E0C4D" w:rsidP="00266EAF">
      <w:pPr>
        <w:widowControl w:val="0"/>
        <w:spacing w:after="0" w:line="276" w:lineRule="auto"/>
        <w:jc w:val="both"/>
      </w:pPr>
    </w:p>
    <w:p w:rsidR="004E0C4D" w:rsidRDefault="004E0C4D" w:rsidP="00266EAF">
      <w:pPr>
        <w:widowControl w:val="0"/>
        <w:spacing w:after="0" w:line="276" w:lineRule="auto"/>
        <w:jc w:val="both"/>
      </w:pPr>
      <w:r>
        <w:t xml:space="preserve">                                                               ______________________________________________</w:t>
      </w:r>
    </w:p>
    <w:p w:rsidR="004E0C4D" w:rsidRDefault="004E0C4D" w:rsidP="00266EAF">
      <w:pPr>
        <w:widowControl w:val="0"/>
        <w:spacing w:after="0" w:line="276" w:lineRule="auto"/>
        <w:jc w:val="both"/>
      </w:pPr>
      <w:r>
        <w:t xml:space="preserve">                                                              Др Драган Коковић, ред. проф. Филозофског факултета</w:t>
      </w:r>
    </w:p>
    <w:p w:rsidR="004E0C4D" w:rsidRDefault="004E0C4D" w:rsidP="00266EAF">
      <w:pPr>
        <w:widowControl w:val="0"/>
        <w:spacing w:after="0" w:line="276" w:lineRule="auto"/>
        <w:jc w:val="both"/>
      </w:pPr>
      <w:r>
        <w:t xml:space="preserve">                                                               у Новом саду, у пензији</w:t>
      </w:r>
    </w:p>
    <w:p w:rsidR="004E0C4D" w:rsidRDefault="004E0C4D" w:rsidP="00266EAF">
      <w:pPr>
        <w:widowControl w:val="0"/>
        <w:spacing w:after="0" w:line="276" w:lineRule="auto"/>
        <w:jc w:val="both"/>
      </w:pPr>
    </w:p>
    <w:p w:rsidR="004E0C4D" w:rsidRDefault="004E0C4D" w:rsidP="00266EAF">
      <w:pPr>
        <w:widowControl w:val="0"/>
        <w:spacing w:after="0" w:line="276" w:lineRule="auto"/>
        <w:jc w:val="both"/>
      </w:pPr>
      <w:r>
        <w:t xml:space="preserve">                                                               ______________________________________________</w:t>
      </w:r>
    </w:p>
    <w:p w:rsidR="004E0C4D" w:rsidRDefault="004E0C4D" w:rsidP="00266EAF">
      <w:pPr>
        <w:widowControl w:val="0"/>
        <w:spacing w:after="0" w:line="276" w:lineRule="auto"/>
        <w:jc w:val="both"/>
      </w:pPr>
      <w:r>
        <w:t xml:space="preserve">                                                               Др Јелена Петковић, доцент Филозофског факултета у</w:t>
      </w:r>
    </w:p>
    <w:p w:rsidR="004E0C4D" w:rsidRDefault="004E0C4D" w:rsidP="00266EAF">
      <w:pPr>
        <w:widowControl w:val="0"/>
        <w:spacing w:after="0" w:line="276" w:lineRule="auto"/>
        <w:jc w:val="both"/>
      </w:pPr>
      <w:r>
        <w:t xml:space="preserve">                                                               Нишу</w:t>
      </w:r>
    </w:p>
    <w:p w:rsidR="004E0C4D" w:rsidRDefault="004E0C4D" w:rsidP="00266EAF">
      <w:pPr>
        <w:widowControl w:val="0"/>
        <w:spacing w:after="0" w:line="276" w:lineRule="auto"/>
        <w:jc w:val="both"/>
      </w:pPr>
      <w:r>
        <w:t xml:space="preserve">                                                          </w:t>
      </w:r>
    </w:p>
    <w:p w:rsidR="004E0C4D" w:rsidRDefault="004E0C4D" w:rsidP="00266EAF">
      <w:pPr>
        <w:widowControl w:val="0"/>
        <w:spacing w:after="0" w:line="276" w:lineRule="auto"/>
        <w:jc w:val="both"/>
      </w:pPr>
    </w:p>
    <w:p w:rsidR="004E0C4D" w:rsidRPr="00794AD6" w:rsidRDefault="004E0C4D" w:rsidP="00266EAF">
      <w:pPr>
        <w:widowControl w:val="0"/>
        <w:spacing w:after="0" w:line="276" w:lineRule="auto"/>
        <w:jc w:val="both"/>
        <w:rPr>
          <w:color w:val="000000"/>
          <w:szCs w:val="24"/>
          <w:lang w:eastAsia="hr-HR"/>
        </w:rPr>
      </w:pPr>
      <w:r>
        <w:t xml:space="preserve">                                                    </w:t>
      </w:r>
    </w:p>
    <w:p w:rsidR="004E0C4D" w:rsidRPr="007B16FC" w:rsidRDefault="004E0C4D" w:rsidP="00266EAF">
      <w:pPr>
        <w:spacing w:line="276" w:lineRule="auto"/>
        <w:ind w:firstLine="720"/>
        <w:jc w:val="both"/>
        <w:rPr>
          <w:szCs w:val="24"/>
        </w:rPr>
      </w:pPr>
    </w:p>
    <w:p w:rsidR="004E0C4D" w:rsidRPr="00374E6B" w:rsidRDefault="004E0C4D" w:rsidP="00266EAF">
      <w:pPr>
        <w:spacing w:line="276" w:lineRule="auto"/>
      </w:pPr>
    </w:p>
    <w:sectPr w:rsidR="004E0C4D" w:rsidRPr="00374E6B" w:rsidSect="00A7066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C4D" w:rsidRDefault="004E0C4D" w:rsidP="00862D22">
      <w:pPr>
        <w:spacing w:after="0" w:line="240" w:lineRule="auto"/>
      </w:pPr>
      <w:r>
        <w:separator/>
      </w:r>
    </w:p>
  </w:endnote>
  <w:endnote w:type="continuationSeparator" w:id="0">
    <w:p w:rsidR="004E0C4D" w:rsidRDefault="004E0C4D" w:rsidP="00862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4D" w:rsidRDefault="004E0C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4D" w:rsidRDefault="004E0C4D">
    <w:pPr>
      <w:pStyle w:val="Footer"/>
      <w:jc w:val="right"/>
    </w:pPr>
    <w:fldSimple w:instr=" PAGE   \* MERGEFORMAT ">
      <w:r>
        <w:rPr>
          <w:noProof/>
        </w:rPr>
        <w:t>1</w:t>
      </w:r>
    </w:fldSimple>
  </w:p>
  <w:p w:rsidR="004E0C4D" w:rsidRDefault="004E0C4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4D" w:rsidRDefault="004E0C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C4D" w:rsidRDefault="004E0C4D" w:rsidP="00862D22">
      <w:pPr>
        <w:spacing w:after="0" w:line="240" w:lineRule="auto"/>
      </w:pPr>
      <w:r>
        <w:separator/>
      </w:r>
    </w:p>
  </w:footnote>
  <w:footnote w:type="continuationSeparator" w:id="0">
    <w:p w:rsidR="004E0C4D" w:rsidRDefault="004E0C4D" w:rsidP="00862D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4D" w:rsidRDefault="004E0C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4D" w:rsidRDefault="004E0C4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4D" w:rsidRDefault="004E0C4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6438"/>
    <w:rsid w:val="000057F1"/>
    <w:rsid w:val="00012FAF"/>
    <w:rsid w:val="00026725"/>
    <w:rsid w:val="000A6F1F"/>
    <w:rsid w:val="000B328F"/>
    <w:rsid w:val="00162036"/>
    <w:rsid w:val="00183787"/>
    <w:rsid w:val="001C356E"/>
    <w:rsid w:val="0020580B"/>
    <w:rsid w:val="00221B89"/>
    <w:rsid w:val="00266EAF"/>
    <w:rsid w:val="00295EA1"/>
    <w:rsid w:val="00334EAF"/>
    <w:rsid w:val="00371EFD"/>
    <w:rsid w:val="00374E6B"/>
    <w:rsid w:val="003E0F8D"/>
    <w:rsid w:val="003F3EEB"/>
    <w:rsid w:val="00415BC7"/>
    <w:rsid w:val="004342EE"/>
    <w:rsid w:val="004B7BAF"/>
    <w:rsid w:val="004E0C4D"/>
    <w:rsid w:val="00540046"/>
    <w:rsid w:val="0058411E"/>
    <w:rsid w:val="005F74D8"/>
    <w:rsid w:val="00686B92"/>
    <w:rsid w:val="00794AD6"/>
    <w:rsid w:val="007B16FC"/>
    <w:rsid w:val="00862D22"/>
    <w:rsid w:val="00A14F48"/>
    <w:rsid w:val="00A21251"/>
    <w:rsid w:val="00A54EBF"/>
    <w:rsid w:val="00A6120E"/>
    <w:rsid w:val="00A70662"/>
    <w:rsid w:val="00A73FD3"/>
    <w:rsid w:val="00A7553B"/>
    <w:rsid w:val="00C41A3B"/>
    <w:rsid w:val="00C60608"/>
    <w:rsid w:val="00CF712F"/>
    <w:rsid w:val="00D016E6"/>
    <w:rsid w:val="00D37905"/>
    <w:rsid w:val="00D5005D"/>
    <w:rsid w:val="00D6469A"/>
    <w:rsid w:val="00D7154A"/>
    <w:rsid w:val="00E14D50"/>
    <w:rsid w:val="00E23FC2"/>
    <w:rsid w:val="00E92300"/>
    <w:rsid w:val="00F44A4C"/>
    <w:rsid w:val="00FF64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662"/>
    <w:pPr>
      <w:spacing w:after="160" w:line="259" w:lineRule="auto"/>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62D2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862D22"/>
    <w:rPr>
      <w:rFonts w:cs="Times New Roman"/>
    </w:rPr>
  </w:style>
  <w:style w:type="paragraph" w:styleId="Footer">
    <w:name w:val="footer"/>
    <w:basedOn w:val="Normal"/>
    <w:link w:val="FooterChar"/>
    <w:uiPriority w:val="99"/>
    <w:rsid w:val="00862D2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862D2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2069</Words>
  <Characters>11799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НАСТАВНО-НАУЧНОМ ВЕЋУ ФИЛОЗОФСКОГ ФАКУЛТЕТА УНИВЕРЗИТЕТА У НИШУ</dc:title>
  <dc:subject/>
  <dc:creator>Bonny</dc:creator>
  <cp:keywords/>
  <dc:description/>
  <cp:lastModifiedBy>rc</cp:lastModifiedBy>
  <cp:revision>2</cp:revision>
  <dcterms:created xsi:type="dcterms:W3CDTF">2016-10-07T09:40:00Z</dcterms:created>
  <dcterms:modified xsi:type="dcterms:W3CDTF">2016-10-07T09:40:00Z</dcterms:modified>
</cp:coreProperties>
</file>